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1" w:rsidRDefault="007607B1">
      <w:bookmarkStart w:id="0" w:name="_GoBack"/>
      <w:bookmarkEnd w:id="0"/>
    </w:p>
    <w:p w:rsidR="00953E22" w:rsidRDefault="00953E22"/>
    <w:p w:rsidR="00B501E7" w:rsidRDefault="001230D1">
      <w:r>
        <w:t xml:space="preserve">The 2017 SEBAC Agreement defined an increase in employee Pension Deductions of 1.5%. Due to the late implementation of the Pension Deduction Increase, employees had the previous, lower rate </w:t>
      </w:r>
      <w:r w:rsidR="001F166F">
        <w:t xml:space="preserve">in place for the six </w:t>
      </w:r>
      <w:r w:rsidR="007577C4">
        <w:t>(</w:t>
      </w:r>
      <w:r w:rsidR="00543D8F">
        <w:t xml:space="preserve">biweekly) </w:t>
      </w:r>
      <w:r w:rsidR="001F166F">
        <w:t xml:space="preserve">pay checks </w:t>
      </w:r>
      <w:r>
        <w:t xml:space="preserve">of the current fiscal year. </w:t>
      </w:r>
      <w:r w:rsidR="007577C4">
        <w:t xml:space="preserve">For most employees, an extra deduction will be calculated and inserted into their records to make up for the late implementation.  However, </w:t>
      </w:r>
      <w:r>
        <w:t>special handling is needed for employees who retire</w:t>
      </w:r>
      <w:r w:rsidR="00B760F6">
        <w:t xml:space="preserve"> or terminate</w:t>
      </w:r>
      <w:r>
        <w:t xml:space="preserve"> from state service before the end of the fiscal year.</w:t>
      </w:r>
    </w:p>
    <w:p w:rsidR="001230D1" w:rsidRDefault="00757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5476875" cy="571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71500"/>
                        </a:xfrm>
                        <a:prstGeom prst="roundRect">
                          <a:avLst/>
                        </a:prstGeom>
                        <a:solidFill>
                          <a:srgbClr val="FCFCD2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5pt;margin-top:9.95pt;width:431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" fillcolor="#fcfcd2" strokecolor="#243f60 [1604]" strokeweight="2pt"/>
            </w:pict>
          </mc:Fallback>
        </mc:AlternateContent>
      </w:r>
    </w:p>
    <w:p w:rsidR="001230D1" w:rsidRDefault="009B5F55">
      <w:r w:rsidRPr="009B5F55">
        <w:rPr>
          <w:b/>
        </w:rPr>
        <w:t>NOTE:</w:t>
      </w:r>
      <w:r w:rsidR="007577C4">
        <w:rPr>
          <w:b/>
        </w:rPr>
        <w:t xml:space="preserve"> </w:t>
      </w:r>
      <w:r w:rsidR="001230D1">
        <w:t>For any employee who has already retired</w:t>
      </w:r>
      <w:r w:rsidR="00864A1E">
        <w:t xml:space="preserve"> </w:t>
      </w:r>
      <w:r w:rsidR="00B760F6">
        <w:t>or terminated</w:t>
      </w:r>
      <w:r w:rsidR="00864A1E">
        <w:t xml:space="preserve"> between 7/1/17 and 1/31/18</w:t>
      </w:r>
      <w:r w:rsidR="001230D1">
        <w:t xml:space="preserve"> the OSC Retirement Services Division will address the underpayment.</w:t>
      </w:r>
    </w:p>
    <w:p w:rsidR="001230D1" w:rsidRDefault="001230D1"/>
    <w:p w:rsidR="00864A1E" w:rsidRDefault="00864A1E"/>
    <w:p w:rsidR="001230D1" w:rsidRDefault="001230D1">
      <w:r>
        <w:t>For any upcoming retirees</w:t>
      </w:r>
      <w:r w:rsidR="00B760F6">
        <w:t xml:space="preserve"> or terminations</w:t>
      </w:r>
      <w:r>
        <w:t>, agencies are advised to capture the Pension Deductions owed for the first pay cycles of the year as part of the fin</w:t>
      </w:r>
      <w:r w:rsidR="00865BEA">
        <w:t>al check process. The pay cycle check dates</w:t>
      </w:r>
      <w:r>
        <w:t xml:space="preserve"> in question are:</w:t>
      </w:r>
    </w:p>
    <w:p w:rsidR="002948EC" w:rsidRDefault="002948EC"/>
    <w:p w:rsidR="001230D1" w:rsidRDefault="002948EC">
      <w:r>
        <w:t>Bi</w:t>
      </w:r>
      <w:r w:rsidR="00A528FF">
        <w:t>-</w:t>
      </w:r>
      <w:r>
        <w:t>weekly</w:t>
      </w:r>
      <w:r w:rsidR="00A528FF">
        <w:t>/Special B</w:t>
      </w:r>
      <w:r w:rsidR="001139DA">
        <w:t>i</w:t>
      </w:r>
      <w:r w:rsidR="00A528FF">
        <w:t>-</w:t>
      </w:r>
      <w:r w:rsidR="001139DA">
        <w:t>weekly</w:t>
      </w:r>
      <w:r>
        <w:t>: 7/7</w:t>
      </w:r>
      <w:r w:rsidR="001230D1">
        <w:t>/17, 7/21/17, 8/4/17, 8/18/17, 9/1/17, 9/15/17</w:t>
      </w:r>
    </w:p>
    <w:p w:rsidR="00953E22" w:rsidRDefault="00953E22"/>
    <w:p w:rsidR="001230D1" w:rsidRDefault="002948EC">
      <w:r>
        <w:t>Semi-Monthly: 7/14/17, 7/31/17, 8/15/17, 8/31/17, 9/15/17</w:t>
      </w:r>
    </w:p>
    <w:p w:rsidR="00953E22" w:rsidRDefault="00953E22"/>
    <w:p w:rsidR="002948EC" w:rsidRDefault="002948EC">
      <w:r>
        <w:t>Legislators: 7/7/17, 8/4/17, 9/1/17</w:t>
      </w:r>
    </w:p>
    <w:p w:rsidR="002948EC" w:rsidRPr="001230D1" w:rsidRDefault="002948EC"/>
    <w:p w:rsidR="001139DA" w:rsidRDefault="001139DA">
      <w:pPr>
        <w:rPr>
          <w:b/>
          <w:u w:val="single"/>
        </w:rPr>
      </w:pPr>
      <w:r w:rsidRPr="001139DA">
        <w:rPr>
          <w:b/>
          <w:u w:val="single"/>
        </w:rPr>
        <w:t>Step 1:</w:t>
      </w:r>
    </w:p>
    <w:p w:rsidR="001139DA" w:rsidRDefault="001139DA">
      <w:pPr>
        <w:rPr>
          <w:b/>
          <w:u w:val="single"/>
        </w:rPr>
      </w:pPr>
    </w:p>
    <w:p w:rsidR="007577C4" w:rsidRDefault="007577C4">
      <w:r>
        <w:t xml:space="preserve">Depending on the employee’s pay frequency, </w:t>
      </w:r>
      <w:r w:rsidR="00A528FF">
        <w:t>i</w:t>
      </w:r>
      <w:r w:rsidR="001139DA">
        <w:t>n order to determine the amount the employee owes, the following data is needed per paycheck</w:t>
      </w:r>
      <w:r w:rsidRPr="007577C4">
        <w:t xml:space="preserve"> </w:t>
      </w:r>
      <w:r>
        <w:t>for each check date (above)</w:t>
      </w:r>
      <w:r w:rsidR="001139DA">
        <w:t>. Navigate to Review Paycheck to obtain the ‘RET’ Special Accumulator Amount.</w:t>
      </w:r>
      <w:r>
        <w:t xml:space="preserve"> </w:t>
      </w:r>
      <w:r w:rsidR="001139DA">
        <w:t xml:space="preserve">(This is the amount </w:t>
      </w:r>
      <w:r>
        <w:t xml:space="preserve">is used to calculate Retirement Deductions.) </w:t>
      </w:r>
    </w:p>
    <w:p w:rsidR="007577C4" w:rsidRDefault="007577C4"/>
    <w:p w:rsidR="001139DA" w:rsidRDefault="001139DA">
      <w:r>
        <w:t>Navigation:</w:t>
      </w:r>
    </w:p>
    <w:p w:rsidR="001139DA" w:rsidRDefault="001139DA"/>
    <w:p w:rsidR="001F166F" w:rsidRDefault="004C539F">
      <w:r>
        <w:t xml:space="preserve">Payroll for North America/ Payroll Processing USA/ Produce Payroll/ Review Paycheck </w:t>
      </w:r>
    </w:p>
    <w:p w:rsidR="001F166F" w:rsidRDefault="001F166F"/>
    <w:p w:rsidR="00B501E7" w:rsidRDefault="00B501E7"/>
    <w:p w:rsidR="00B501E7" w:rsidRDefault="00B501E7"/>
    <w:p w:rsidR="00206565" w:rsidRDefault="00206565"/>
    <w:p w:rsidR="00206565" w:rsidRDefault="00206565"/>
    <w:p w:rsidR="00206565" w:rsidRDefault="00206565"/>
    <w:p w:rsidR="003250ED" w:rsidRDefault="003250ED" w:rsidP="00206565"/>
    <w:p w:rsidR="000B7152" w:rsidRDefault="000B7152" w:rsidP="00206565">
      <w:pPr>
        <w:rPr>
          <w:noProof/>
        </w:rPr>
      </w:pPr>
    </w:p>
    <w:p w:rsidR="000B7152" w:rsidRDefault="000B7152" w:rsidP="00206565">
      <w:pPr>
        <w:rPr>
          <w:noProof/>
        </w:rPr>
      </w:pPr>
    </w:p>
    <w:p w:rsidR="000B7152" w:rsidRDefault="000B7152" w:rsidP="00206565">
      <w:pPr>
        <w:rPr>
          <w:noProof/>
        </w:rPr>
      </w:pPr>
    </w:p>
    <w:p w:rsidR="000B7152" w:rsidRDefault="000B7152" w:rsidP="00206565">
      <w:pPr>
        <w:rPr>
          <w:noProof/>
        </w:rPr>
      </w:pPr>
    </w:p>
    <w:p w:rsidR="004C539F" w:rsidRDefault="004C539F" w:rsidP="00206565">
      <w:pPr>
        <w:rPr>
          <w:noProof/>
        </w:rPr>
      </w:pPr>
    </w:p>
    <w:p w:rsidR="004C539F" w:rsidRDefault="001F166F" w:rsidP="00206565">
      <w:pPr>
        <w:rPr>
          <w:noProof/>
        </w:rPr>
      </w:pPr>
      <w:r>
        <w:rPr>
          <w:noProof/>
        </w:rPr>
        <w:t xml:space="preserve">The </w:t>
      </w:r>
      <w:r w:rsidR="00E20466">
        <w:rPr>
          <w:noProof/>
        </w:rPr>
        <w:t>RET Special A</w:t>
      </w:r>
      <w:r w:rsidR="004C539F">
        <w:rPr>
          <w:noProof/>
        </w:rPr>
        <w:t>ccumulator amount</w:t>
      </w:r>
      <w:r>
        <w:rPr>
          <w:noProof/>
        </w:rPr>
        <w:t xml:space="preserve"> of</w:t>
      </w:r>
      <w:r w:rsidR="004C539F">
        <w:rPr>
          <w:noProof/>
        </w:rPr>
        <w:t xml:space="preserve"> $3</w:t>
      </w:r>
      <w:r>
        <w:rPr>
          <w:noProof/>
        </w:rPr>
        <w:t>,</w:t>
      </w:r>
      <w:r w:rsidR="004C539F">
        <w:rPr>
          <w:noProof/>
        </w:rPr>
        <w:t xml:space="preserve">088.21 for check date 7/7/17. </w:t>
      </w:r>
      <w:r w:rsidR="004270D6">
        <w:rPr>
          <w:noProof/>
        </w:rPr>
        <w:t xml:space="preserve"> Conti</w:t>
      </w:r>
      <w:r w:rsidR="00E20466">
        <w:rPr>
          <w:noProof/>
        </w:rPr>
        <w:t xml:space="preserve">nue for each check date listed </w:t>
      </w:r>
      <w:r w:rsidR="004270D6">
        <w:rPr>
          <w:noProof/>
        </w:rPr>
        <w:t xml:space="preserve">previously. </w:t>
      </w:r>
    </w:p>
    <w:p w:rsidR="004C539F" w:rsidRDefault="004C539F" w:rsidP="00206565">
      <w:pPr>
        <w:rPr>
          <w:noProof/>
        </w:rPr>
      </w:pPr>
    </w:p>
    <w:p w:rsidR="004C539F" w:rsidRDefault="004C539F" w:rsidP="00206565">
      <w:pPr>
        <w:rPr>
          <w:noProof/>
        </w:rPr>
      </w:pPr>
    </w:p>
    <w:p w:rsidR="004C539F" w:rsidRDefault="004501F2" w:rsidP="00206565">
      <w:pPr>
        <w:rPr>
          <w:noProof/>
        </w:rPr>
      </w:pPr>
      <w:r>
        <w:rPr>
          <w:noProof/>
        </w:rPr>
        <w:drawing>
          <wp:inline distT="0" distB="0" distL="0" distR="0">
            <wp:extent cx="5467350" cy="638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F" w:rsidRDefault="004C539F" w:rsidP="00206565">
      <w:pPr>
        <w:rPr>
          <w:noProof/>
        </w:rPr>
      </w:pPr>
    </w:p>
    <w:p w:rsidR="004C539F" w:rsidRDefault="004C539F" w:rsidP="00206565">
      <w:pPr>
        <w:rPr>
          <w:noProof/>
        </w:rPr>
      </w:pPr>
    </w:p>
    <w:p w:rsidR="004C539F" w:rsidRDefault="004C539F" w:rsidP="00206565">
      <w:pPr>
        <w:rPr>
          <w:noProof/>
        </w:rPr>
      </w:pPr>
    </w:p>
    <w:p w:rsidR="004501F2" w:rsidRDefault="004501F2" w:rsidP="00206565">
      <w:pPr>
        <w:rPr>
          <w:noProof/>
        </w:rPr>
      </w:pPr>
    </w:p>
    <w:p w:rsidR="004270D6" w:rsidRDefault="004270D6" w:rsidP="00206565">
      <w:pPr>
        <w:rPr>
          <w:noProof/>
        </w:rPr>
      </w:pPr>
      <w:r>
        <w:rPr>
          <w:noProof/>
        </w:rPr>
        <w:t>To</w:t>
      </w:r>
      <w:r w:rsidR="001139DA">
        <w:rPr>
          <w:noProof/>
        </w:rPr>
        <w:t>tal the amount for all pay checks</w:t>
      </w:r>
      <w:r>
        <w:rPr>
          <w:noProof/>
        </w:rPr>
        <w:t>.</w:t>
      </w:r>
    </w:p>
    <w:p w:rsidR="004270D6" w:rsidRDefault="004270D6" w:rsidP="00206565">
      <w:pPr>
        <w:rPr>
          <w:noProof/>
        </w:rPr>
      </w:pPr>
    </w:p>
    <w:tbl>
      <w:tblPr>
        <w:tblW w:w="2700" w:type="dxa"/>
        <w:tblInd w:w="93" w:type="dxa"/>
        <w:tblLook w:val="04A0" w:firstRow="1" w:lastRow="0" w:firstColumn="1" w:lastColumn="0" w:noHBand="0" w:noVBand="1"/>
      </w:tblPr>
      <w:tblGrid>
        <w:gridCol w:w="1220"/>
        <w:gridCol w:w="1480"/>
      </w:tblGrid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07/07/17</w:t>
            </w:r>
          </w:p>
        </w:tc>
        <w:tc>
          <w:tcPr>
            <w:tcW w:w="1480" w:type="dxa"/>
            <w:noWrap/>
            <w:vAlign w:val="center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$3,088.21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07/21/17</w:t>
            </w:r>
          </w:p>
        </w:tc>
        <w:tc>
          <w:tcPr>
            <w:tcW w:w="1480" w:type="dxa"/>
            <w:noWrap/>
            <w:vAlign w:val="center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$3,088.20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08/04/17</w:t>
            </w:r>
          </w:p>
        </w:tc>
        <w:tc>
          <w:tcPr>
            <w:tcW w:w="1480" w:type="dxa"/>
            <w:noWrap/>
            <w:vAlign w:val="center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$3,088.20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08/18/17</w:t>
            </w:r>
          </w:p>
        </w:tc>
        <w:tc>
          <w:tcPr>
            <w:tcW w:w="1480" w:type="dxa"/>
            <w:noWrap/>
            <w:vAlign w:val="bottom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$3,088.20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09/01/17</w:t>
            </w:r>
          </w:p>
        </w:tc>
        <w:tc>
          <w:tcPr>
            <w:tcW w:w="1480" w:type="dxa"/>
            <w:noWrap/>
            <w:vAlign w:val="bottom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$3,088.20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center"/>
            <w:hideMark/>
          </w:tcPr>
          <w:p w:rsidR="001139DA" w:rsidRDefault="001139D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09/15/17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$3,044.09 </w:t>
            </w:r>
          </w:p>
        </w:tc>
      </w:tr>
      <w:tr w:rsidR="001139DA" w:rsidTr="001139DA">
        <w:trPr>
          <w:trHeight w:val="312"/>
        </w:trPr>
        <w:tc>
          <w:tcPr>
            <w:tcW w:w="1220" w:type="dxa"/>
            <w:noWrap/>
            <w:vAlign w:val="bottom"/>
            <w:hideMark/>
          </w:tcPr>
          <w:p w:rsidR="001139DA" w:rsidRDefault="001139D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139DA" w:rsidRDefault="00113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$18,485.10 </w:t>
            </w:r>
          </w:p>
        </w:tc>
      </w:tr>
    </w:tbl>
    <w:p w:rsidR="009A65AF" w:rsidRDefault="009A65AF" w:rsidP="00206565">
      <w:pPr>
        <w:rPr>
          <w:noProof/>
        </w:rPr>
      </w:pPr>
    </w:p>
    <w:p w:rsidR="004270D6" w:rsidRDefault="009A65AF" w:rsidP="00206565">
      <w:pPr>
        <w:rPr>
          <w:noProof/>
        </w:rPr>
      </w:pPr>
      <w:r>
        <w:rPr>
          <w:noProof/>
        </w:rPr>
        <w:t>The result is the Pensionable earning for the employee for the missed pay cycles.</w:t>
      </w:r>
    </w:p>
    <w:p w:rsidR="009A65AF" w:rsidRDefault="009A65AF" w:rsidP="00206565">
      <w:pPr>
        <w:rPr>
          <w:noProof/>
        </w:rPr>
      </w:pPr>
    </w:p>
    <w:p w:rsidR="009A65AF" w:rsidRPr="00293D33" w:rsidRDefault="009A65AF" w:rsidP="009A65AF">
      <w:pPr>
        <w:rPr>
          <w:b/>
          <w:u w:val="single"/>
        </w:rPr>
      </w:pPr>
      <w:r>
        <w:rPr>
          <w:b/>
          <w:u w:val="single"/>
        </w:rPr>
        <w:t xml:space="preserve">Step 2:  </w:t>
      </w:r>
      <w:r w:rsidRPr="00293D33">
        <w:rPr>
          <w:b/>
          <w:u w:val="single"/>
        </w:rPr>
        <w:t xml:space="preserve"> </w:t>
      </w:r>
      <w:r>
        <w:rPr>
          <w:b/>
          <w:u w:val="single"/>
        </w:rPr>
        <w:t xml:space="preserve">Multiply the total for the pay cycles’ </w:t>
      </w:r>
      <w:r w:rsidR="001F166F">
        <w:rPr>
          <w:b/>
          <w:u w:val="single"/>
        </w:rPr>
        <w:t>Pensionable</w:t>
      </w:r>
      <w:r>
        <w:rPr>
          <w:b/>
          <w:u w:val="single"/>
        </w:rPr>
        <w:t xml:space="preserve"> earnings by 1.5%:</w:t>
      </w:r>
    </w:p>
    <w:p w:rsidR="004270D6" w:rsidRDefault="004270D6" w:rsidP="00206565">
      <w:pPr>
        <w:rPr>
          <w:noProof/>
        </w:rPr>
      </w:pPr>
    </w:p>
    <w:p w:rsidR="004270D6" w:rsidRDefault="009A65AF" w:rsidP="00206565">
      <w:pPr>
        <w:rPr>
          <w:noProof/>
        </w:rPr>
      </w:pPr>
      <w:r>
        <w:rPr>
          <w:noProof/>
        </w:rPr>
        <w:t>$18,485.10 x 1.5% = $277.28</w:t>
      </w:r>
    </w:p>
    <w:p w:rsidR="008153B0" w:rsidRDefault="008153B0" w:rsidP="008153B0">
      <w:pPr>
        <w:rPr>
          <w:noProof/>
        </w:rPr>
      </w:pPr>
      <w:r w:rsidRPr="008153B0">
        <w:rPr>
          <w:noProof/>
        </w:rPr>
        <w:t>The result is the Pension deduction under</w:t>
      </w:r>
      <w:r w:rsidR="00864A1E">
        <w:rPr>
          <w:noProof/>
        </w:rPr>
        <w:t>payment for the employee’s</w:t>
      </w:r>
      <w:r w:rsidRPr="008153B0">
        <w:rPr>
          <w:noProof/>
        </w:rPr>
        <w:t xml:space="preserve"> missed pay cycles.</w:t>
      </w:r>
    </w:p>
    <w:p w:rsidR="004270D6" w:rsidRDefault="004270D6" w:rsidP="00206565">
      <w:pPr>
        <w:rPr>
          <w:noProof/>
        </w:rPr>
      </w:pPr>
    </w:p>
    <w:p w:rsidR="004270D6" w:rsidRPr="00F932A1" w:rsidRDefault="00F932A1" w:rsidP="00206565">
      <w:pPr>
        <w:rPr>
          <w:b/>
          <w:noProof/>
          <w:u w:val="single"/>
        </w:rPr>
      </w:pPr>
      <w:r w:rsidRPr="00F932A1">
        <w:rPr>
          <w:b/>
          <w:noProof/>
          <w:u w:val="single"/>
        </w:rPr>
        <w:t>Step 3:  Calculate the amount of Catch-Up Deductions Taken</w:t>
      </w:r>
    </w:p>
    <w:p w:rsidR="00F932A1" w:rsidRDefault="00F932A1" w:rsidP="00206565">
      <w:pPr>
        <w:rPr>
          <w:noProof/>
        </w:rPr>
      </w:pPr>
    </w:p>
    <w:p w:rsidR="00F932A1" w:rsidRDefault="00F932A1" w:rsidP="00206565">
      <w:pPr>
        <w:rPr>
          <w:noProof/>
        </w:rPr>
      </w:pPr>
      <w:r>
        <w:rPr>
          <w:noProof/>
        </w:rPr>
        <w:t>For anyone who retires</w:t>
      </w:r>
      <w:r w:rsidR="00B760F6">
        <w:rPr>
          <w:noProof/>
        </w:rPr>
        <w:t xml:space="preserve"> or terminates</w:t>
      </w:r>
      <w:r w:rsidR="00864A1E">
        <w:rPr>
          <w:noProof/>
        </w:rPr>
        <w:t xml:space="preserve"> on or</w:t>
      </w:r>
      <w:r w:rsidR="00E720D4">
        <w:rPr>
          <w:noProof/>
        </w:rPr>
        <w:t xml:space="preserve"> after  2/1/18</w:t>
      </w:r>
      <w:r>
        <w:rPr>
          <w:noProof/>
        </w:rPr>
        <w:t xml:space="preserve"> agencies will need to also calculate the total Catch-Up deduction taken.  </w:t>
      </w:r>
    </w:p>
    <w:p w:rsidR="00F932A1" w:rsidRDefault="00F932A1" w:rsidP="00206565">
      <w:pPr>
        <w:rPr>
          <w:noProof/>
        </w:rPr>
      </w:pPr>
    </w:p>
    <w:p w:rsidR="00F932A1" w:rsidRDefault="00FE2C1F" w:rsidP="00206565">
      <w:pPr>
        <w:rPr>
          <w:noProof/>
        </w:rPr>
      </w:pPr>
      <w:r>
        <w:rPr>
          <w:noProof/>
        </w:rPr>
        <w:t>From Review Paycheck, total the Catch -Up Deduction amounts that have b</w:t>
      </w:r>
      <w:r w:rsidR="007518EA">
        <w:rPr>
          <w:noProof/>
        </w:rPr>
        <w:t>een taken since the February 2nd</w:t>
      </w:r>
      <w:r>
        <w:rPr>
          <w:noProof/>
        </w:rPr>
        <w:t xml:space="preserve"> check date.  Deduct that total C</w:t>
      </w:r>
      <w:r w:rsidR="00F932A1">
        <w:rPr>
          <w:noProof/>
        </w:rPr>
        <w:t>atch</w:t>
      </w:r>
      <w:r>
        <w:rPr>
          <w:noProof/>
        </w:rPr>
        <w:t>-U</w:t>
      </w:r>
      <w:r w:rsidR="00F932A1">
        <w:rPr>
          <w:noProof/>
        </w:rPr>
        <w:t>p</w:t>
      </w:r>
      <w:r>
        <w:rPr>
          <w:noProof/>
        </w:rPr>
        <w:t xml:space="preserve"> amount</w:t>
      </w:r>
      <w:r w:rsidR="00F932A1">
        <w:rPr>
          <w:noProof/>
        </w:rPr>
        <w:t xml:space="preserve"> from the total </w:t>
      </w:r>
      <w:r>
        <w:rPr>
          <w:noProof/>
        </w:rPr>
        <w:t>Pensionable deduction underpayment from Step 2</w:t>
      </w:r>
      <w:r w:rsidR="002620DC">
        <w:rPr>
          <w:noProof/>
        </w:rPr>
        <w:t xml:space="preserve"> to get th</w:t>
      </w:r>
      <w:r w:rsidR="004501F2">
        <w:rPr>
          <w:noProof/>
        </w:rPr>
        <w:t xml:space="preserve">e amount of the remaining 1.5% </w:t>
      </w:r>
      <w:r w:rsidR="002620DC">
        <w:rPr>
          <w:noProof/>
        </w:rPr>
        <w:t xml:space="preserve"> deduction</w:t>
      </w:r>
      <w:r w:rsidR="00604B3F">
        <w:rPr>
          <w:noProof/>
        </w:rPr>
        <w:t xml:space="preserve"> owed</w:t>
      </w:r>
      <w:r w:rsidR="00F932A1">
        <w:rPr>
          <w:noProof/>
        </w:rPr>
        <w:t xml:space="preserve">.  </w:t>
      </w:r>
      <w:r w:rsidR="004A15DC">
        <w:rPr>
          <w:noProof/>
        </w:rPr>
        <w:t xml:space="preserve">Provide this amount to Active and Pension Payroll Services Division </w:t>
      </w:r>
      <w:r w:rsidR="00604B3F">
        <w:rPr>
          <w:noProof/>
        </w:rPr>
        <w:t>(</w:t>
      </w:r>
      <w:r w:rsidR="004A15DC">
        <w:rPr>
          <w:noProof/>
        </w:rPr>
        <w:t>Step 4</w:t>
      </w:r>
      <w:r w:rsidR="00604B3F">
        <w:rPr>
          <w:noProof/>
        </w:rPr>
        <w:t>)</w:t>
      </w:r>
      <w:r w:rsidR="004A15DC">
        <w:rPr>
          <w:noProof/>
        </w:rPr>
        <w:t>.</w:t>
      </w:r>
    </w:p>
    <w:p w:rsidR="00F932A1" w:rsidRDefault="00F932A1" w:rsidP="00206565">
      <w:pPr>
        <w:rPr>
          <w:noProof/>
        </w:rPr>
      </w:pPr>
    </w:p>
    <w:p w:rsidR="009A65AF" w:rsidRDefault="009A65AF" w:rsidP="009A65AF">
      <w:pPr>
        <w:rPr>
          <w:b/>
          <w:u w:val="single"/>
        </w:rPr>
      </w:pPr>
      <w:r>
        <w:rPr>
          <w:b/>
          <w:u w:val="single"/>
        </w:rPr>
        <w:t xml:space="preserve">Step </w:t>
      </w:r>
      <w:r w:rsidR="00F932A1">
        <w:rPr>
          <w:b/>
          <w:u w:val="single"/>
        </w:rPr>
        <w:t>4</w:t>
      </w:r>
      <w:r>
        <w:rPr>
          <w:b/>
          <w:u w:val="single"/>
        </w:rPr>
        <w:t xml:space="preserve">:  </w:t>
      </w:r>
      <w:r w:rsidRPr="00293D33">
        <w:rPr>
          <w:b/>
          <w:u w:val="single"/>
        </w:rPr>
        <w:t xml:space="preserve"> </w:t>
      </w:r>
      <w:r>
        <w:rPr>
          <w:b/>
          <w:u w:val="single"/>
        </w:rPr>
        <w:t xml:space="preserve">Provide information </w:t>
      </w:r>
      <w:r w:rsidR="001F166F">
        <w:rPr>
          <w:b/>
          <w:u w:val="single"/>
        </w:rPr>
        <w:t xml:space="preserve">to OSC </w:t>
      </w:r>
      <w:r>
        <w:rPr>
          <w:b/>
          <w:u w:val="single"/>
        </w:rPr>
        <w:t>Active and Pension Payroll Services Division</w:t>
      </w:r>
    </w:p>
    <w:p w:rsidR="009A65AF" w:rsidRDefault="009A65AF" w:rsidP="009A65AF">
      <w:pPr>
        <w:rPr>
          <w:b/>
          <w:u w:val="single"/>
        </w:rPr>
      </w:pPr>
    </w:p>
    <w:p w:rsidR="001139DA" w:rsidRDefault="009A65AF" w:rsidP="009A65AF">
      <w:r>
        <w:t>Send</w:t>
      </w:r>
      <w:r w:rsidR="001139DA">
        <w:t xml:space="preserve"> the following information to OSC</w:t>
      </w:r>
      <w:r w:rsidR="007577C4">
        <w:t xml:space="preserve"> </w:t>
      </w:r>
      <w:r w:rsidR="001139DA">
        <w:t>Active and Pen</w:t>
      </w:r>
      <w:r w:rsidR="00E918E6">
        <w:t xml:space="preserve">sion Payroll Services Division, at </w:t>
      </w:r>
      <w:hyperlink r:id="rId12" w:history="1">
        <w:r w:rsidR="006706B4" w:rsidRPr="008E252C">
          <w:rPr>
            <w:rStyle w:val="Hyperlink"/>
          </w:rPr>
          <w:t>OSC.PAYCORRECTIONS@CT.GOV</w:t>
        </w:r>
      </w:hyperlink>
      <w:r w:rsidR="00604B3F">
        <w:t xml:space="preserve">: </w:t>
      </w:r>
      <w:r>
        <w:t>the</w:t>
      </w:r>
      <w:r w:rsidR="001F166F">
        <w:t xml:space="preserve"> Employee</w:t>
      </w:r>
      <w:r w:rsidR="004B0D2E">
        <w:t xml:space="preserve"> N</w:t>
      </w:r>
      <w:r w:rsidR="001139DA">
        <w:t>umber</w:t>
      </w:r>
      <w:r w:rsidR="001F166F">
        <w:t>,</w:t>
      </w:r>
      <w:r>
        <w:t xml:space="preserve"> </w:t>
      </w:r>
      <w:r w:rsidR="001139DA">
        <w:t>Empl</w:t>
      </w:r>
      <w:r w:rsidR="004B0D2E">
        <w:t>oyee R</w:t>
      </w:r>
      <w:r w:rsidR="001139DA">
        <w:t>ec</w:t>
      </w:r>
      <w:r w:rsidR="004B0D2E">
        <w:t>ord</w:t>
      </w:r>
      <w:r w:rsidR="001139DA">
        <w:t xml:space="preserve">, </w:t>
      </w:r>
      <w:r>
        <w:t>amount</w:t>
      </w:r>
      <w:r w:rsidR="001F166F">
        <w:t>,</w:t>
      </w:r>
      <w:r>
        <w:t xml:space="preserve"> </w:t>
      </w:r>
      <w:r w:rsidR="001139DA">
        <w:t>and one of the following catchup Retirement Deductions</w:t>
      </w:r>
      <w:r w:rsidR="00427145">
        <w:t xml:space="preserve"> on the following page.</w:t>
      </w:r>
    </w:p>
    <w:p w:rsidR="00427145" w:rsidRDefault="00427145" w:rsidP="009A65AF"/>
    <w:p w:rsidR="00427145" w:rsidRPr="001F166F" w:rsidRDefault="00427145" w:rsidP="00427145">
      <w:pPr>
        <w:rPr>
          <w:u w:val="single"/>
        </w:rPr>
      </w:pPr>
      <w:r w:rsidRPr="001F166F">
        <w:rPr>
          <w:u w:val="single"/>
        </w:rPr>
        <w:t>Example</w:t>
      </w:r>
    </w:p>
    <w:p w:rsidR="00427145" w:rsidRDefault="00427145" w:rsidP="00427145">
      <w:r>
        <w:t>Employee: Jane Doe</w:t>
      </w:r>
    </w:p>
    <w:p w:rsidR="00427145" w:rsidRDefault="00427145" w:rsidP="00427145">
      <w:r>
        <w:t xml:space="preserve">Employee ID: 123456 </w:t>
      </w:r>
    </w:p>
    <w:p w:rsidR="00427145" w:rsidRDefault="00427145" w:rsidP="00427145">
      <w:r>
        <w:t>Amount for Missed Retirement: $277.28</w:t>
      </w:r>
    </w:p>
    <w:p w:rsidR="00427145" w:rsidRDefault="00427145" w:rsidP="00427145">
      <w:r>
        <w:t>Deduction Code: CDSE2A</w:t>
      </w:r>
    </w:p>
    <w:p w:rsidR="00427145" w:rsidRDefault="00427145" w:rsidP="00427145"/>
    <w:p w:rsidR="00427145" w:rsidRPr="009A65AF" w:rsidRDefault="00427145" w:rsidP="00427145">
      <w:r>
        <w:t>Payroll services will process a Deduction Override for the employee’s last check with the information provided.</w:t>
      </w:r>
    </w:p>
    <w:p w:rsidR="00427145" w:rsidRPr="00F932A1" w:rsidRDefault="00F932A1" w:rsidP="009A65AF">
      <w:pPr>
        <w:rPr>
          <w:b/>
        </w:rPr>
      </w:pPr>
      <w:r w:rsidRPr="00F932A1">
        <w:rPr>
          <w:b/>
        </w:rPr>
        <w:lastRenderedPageBreak/>
        <w:t>Catch-Up Deduction Codes for SEBAC 2017</w:t>
      </w:r>
    </w:p>
    <w:p w:rsidR="00427145" w:rsidRDefault="00427145" w:rsidP="009A6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960"/>
        <w:gridCol w:w="2080"/>
        <w:gridCol w:w="2045"/>
      </w:tblGrid>
      <w:tr w:rsidR="00543D8F" w:rsidRPr="00543D8F" w:rsidTr="006E76C5">
        <w:trPr>
          <w:trHeight w:val="458"/>
        </w:trPr>
        <w:tc>
          <w:tcPr>
            <w:tcW w:w="1323" w:type="dxa"/>
            <w:shd w:val="clear" w:color="auto" w:fill="FCFCD2"/>
            <w:hideMark/>
          </w:tcPr>
          <w:p w:rsidR="00543D8F" w:rsidRPr="00543D8F" w:rsidRDefault="00543D8F">
            <w:pPr>
              <w:rPr>
                <w:b/>
                <w:bCs/>
              </w:rPr>
            </w:pPr>
            <w:r w:rsidRPr="00543D8F">
              <w:rPr>
                <w:b/>
                <w:bCs/>
              </w:rPr>
              <w:t>DEDCD(s)</w:t>
            </w:r>
          </w:p>
        </w:tc>
        <w:tc>
          <w:tcPr>
            <w:tcW w:w="960" w:type="dxa"/>
            <w:shd w:val="clear" w:color="auto" w:fill="FCFCD2"/>
            <w:hideMark/>
          </w:tcPr>
          <w:p w:rsidR="00543D8F" w:rsidRPr="00543D8F" w:rsidRDefault="00543D8F">
            <w:pPr>
              <w:rPr>
                <w:b/>
                <w:bCs/>
              </w:rPr>
            </w:pPr>
            <w:r w:rsidRPr="00543D8F">
              <w:rPr>
                <w:b/>
                <w:bCs/>
              </w:rPr>
              <w:t>Plan</w:t>
            </w:r>
          </w:p>
        </w:tc>
        <w:tc>
          <w:tcPr>
            <w:tcW w:w="2080" w:type="dxa"/>
            <w:shd w:val="clear" w:color="auto" w:fill="FCFCD2"/>
            <w:hideMark/>
          </w:tcPr>
          <w:p w:rsidR="00543D8F" w:rsidRPr="00543D8F" w:rsidRDefault="00543D8F">
            <w:pPr>
              <w:rPr>
                <w:b/>
                <w:bCs/>
              </w:rPr>
            </w:pPr>
            <w:r w:rsidRPr="00543D8F">
              <w:rPr>
                <w:b/>
                <w:bCs/>
              </w:rPr>
              <w:t>Description</w:t>
            </w:r>
          </w:p>
        </w:tc>
        <w:tc>
          <w:tcPr>
            <w:tcW w:w="2045" w:type="dxa"/>
            <w:shd w:val="clear" w:color="auto" w:fill="FCFCD2"/>
            <w:hideMark/>
          </w:tcPr>
          <w:p w:rsidR="00543D8F" w:rsidRPr="00543D8F" w:rsidRDefault="00543D8F">
            <w:pPr>
              <w:rPr>
                <w:b/>
                <w:bCs/>
              </w:rPr>
            </w:pPr>
            <w:r w:rsidRPr="00543D8F">
              <w:rPr>
                <w:b/>
                <w:bCs/>
              </w:rPr>
              <w:t>Catch Up Code</w:t>
            </w:r>
          </w:p>
        </w:tc>
      </w:tr>
      <w:tr w:rsidR="00543D8F" w:rsidRPr="00543D8F" w:rsidTr="00F932A1">
        <w:trPr>
          <w:trHeight w:val="719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R1HZA4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A Haz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CD1HZA</w:t>
            </w:r>
          </w:p>
        </w:tc>
      </w:tr>
      <w:tr w:rsidR="00543D8F" w:rsidRPr="00543D8F" w:rsidTr="00F932A1">
        <w:trPr>
          <w:trHeight w:val="710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RS1UCA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A UCONN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CD1UCA</w:t>
            </w:r>
          </w:p>
        </w:tc>
      </w:tr>
      <w:tr w:rsidR="00543D8F" w:rsidRPr="00543D8F" w:rsidTr="00F932A1">
        <w:trPr>
          <w:trHeight w:val="710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RS1PLA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A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CD1PLA</w:t>
            </w:r>
          </w:p>
        </w:tc>
      </w:tr>
      <w:tr w:rsidR="00543D8F" w:rsidRPr="00543D8F" w:rsidTr="00F932A1">
        <w:trPr>
          <w:trHeight w:val="710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R1HZB4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B Haz FICA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CD1HZB</w:t>
            </w:r>
          </w:p>
        </w:tc>
      </w:tr>
      <w:tr w:rsidR="00543D8F" w:rsidRPr="00543D8F" w:rsidTr="00F932A1">
        <w:trPr>
          <w:trHeight w:val="710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R1SPB4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B Haz NoFICA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CD1SPB</w:t>
            </w:r>
          </w:p>
        </w:tc>
      </w:tr>
      <w:tr w:rsidR="00543D8F" w:rsidRPr="00543D8F" w:rsidTr="00F932A1">
        <w:trPr>
          <w:trHeight w:val="620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RS1UB1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B UCONN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CD1SUB</w:t>
            </w:r>
          </w:p>
        </w:tc>
      </w:tr>
      <w:tr w:rsidR="00543D8F" w:rsidRPr="00543D8F" w:rsidTr="00F932A1">
        <w:trPr>
          <w:trHeight w:val="449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RSE1B2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B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CD1SEB</w:t>
            </w:r>
          </w:p>
        </w:tc>
      </w:tr>
      <w:tr w:rsidR="00543D8F" w:rsidRPr="00543D8F" w:rsidTr="006E76C5">
        <w:trPr>
          <w:trHeight w:val="611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R1HZC4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C Haz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CD1HZC</w:t>
            </w:r>
          </w:p>
        </w:tc>
      </w:tr>
      <w:tr w:rsidR="00543D8F" w:rsidRPr="00543D8F" w:rsidTr="006E76C5">
        <w:trPr>
          <w:trHeight w:val="611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RS1UCC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C UCONN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CD1UCC</w:t>
            </w:r>
          </w:p>
        </w:tc>
      </w:tr>
      <w:tr w:rsidR="00543D8F" w:rsidRPr="00543D8F" w:rsidTr="00F932A1">
        <w:trPr>
          <w:trHeight w:val="512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RS1PLC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 Plan C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CD1PLC</w:t>
            </w:r>
          </w:p>
        </w:tc>
      </w:tr>
      <w:tr w:rsidR="00543D8F" w:rsidRPr="00543D8F" w:rsidTr="00F932A1">
        <w:trPr>
          <w:trHeight w:val="485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RS2AHZ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IIA Haz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CD2AHZ</w:t>
            </w:r>
          </w:p>
        </w:tc>
      </w:tr>
      <w:tr w:rsidR="00543D8F" w:rsidRPr="00543D8F" w:rsidTr="006E76C5">
        <w:trPr>
          <w:trHeight w:val="359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RSE2A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IIA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</w:t>
            </w:r>
            <w:r w:rsidR="004A15DC">
              <w:t>2ASE</w:t>
            </w:r>
          </w:p>
        </w:tc>
      </w:tr>
      <w:tr w:rsidR="00543D8F" w:rsidRPr="00543D8F" w:rsidTr="00F932A1">
        <w:trPr>
          <w:trHeight w:val="315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RS2SS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</w:t>
            </w:r>
            <w:r w:rsidR="004A15DC">
              <w:t>2SSS</w:t>
            </w:r>
          </w:p>
        </w:tc>
      </w:tr>
      <w:tr w:rsidR="00543D8F" w:rsidRPr="00543D8F" w:rsidTr="00F932A1">
        <w:trPr>
          <w:trHeight w:val="683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RS2NSS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 No FICA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CD2NSS</w:t>
            </w:r>
          </w:p>
        </w:tc>
      </w:tr>
      <w:tr w:rsidR="00543D8F" w:rsidRPr="00543D8F" w:rsidTr="006E76C5">
        <w:trPr>
          <w:trHeight w:val="323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RSE2HZ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 Haz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CDS2HZ</w:t>
            </w:r>
          </w:p>
        </w:tc>
      </w:tr>
      <w:tr w:rsidR="00543D8F" w:rsidRPr="00543D8F" w:rsidTr="00F932A1">
        <w:trPr>
          <w:trHeight w:val="476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RS3HZ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III Haz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</w:t>
            </w:r>
            <w:r w:rsidR="004A15DC">
              <w:t>3SHZ</w:t>
            </w:r>
          </w:p>
        </w:tc>
      </w:tr>
      <w:tr w:rsidR="00543D8F" w:rsidRPr="00543D8F" w:rsidTr="00F932A1">
        <w:trPr>
          <w:trHeight w:val="386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RSER3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hideMark/>
          </w:tcPr>
          <w:p w:rsidR="00543D8F" w:rsidRPr="00543D8F" w:rsidRDefault="00543D8F">
            <w:r w:rsidRPr="00543D8F">
              <w:t>Tier III Contr</w:t>
            </w:r>
          </w:p>
        </w:tc>
        <w:tc>
          <w:tcPr>
            <w:tcW w:w="2045" w:type="dxa"/>
            <w:hideMark/>
          </w:tcPr>
          <w:p w:rsidR="00543D8F" w:rsidRPr="00543D8F" w:rsidRDefault="00543D8F">
            <w:r w:rsidRPr="00543D8F">
              <w:t>CD</w:t>
            </w:r>
            <w:r w:rsidR="004A15DC">
              <w:t>3SER</w:t>
            </w:r>
          </w:p>
        </w:tc>
      </w:tr>
      <w:tr w:rsidR="00543D8F" w:rsidRPr="00543D8F" w:rsidTr="00F932A1">
        <w:trPr>
          <w:trHeight w:val="315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RSHY3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noWrap/>
            <w:hideMark/>
          </w:tcPr>
          <w:p w:rsidR="00543D8F" w:rsidRPr="00543D8F" w:rsidRDefault="00543D8F">
            <w:r w:rsidRPr="00543D8F">
              <w:t>Hybrid Contributions</w:t>
            </w:r>
          </w:p>
        </w:tc>
        <w:tc>
          <w:tcPr>
            <w:tcW w:w="2045" w:type="dxa"/>
            <w:noWrap/>
            <w:hideMark/>
          </w:tcPr>
          <w:p w:rsidR="00543D8F" w:rsidRPr="00543D8F" w:rsidRDefault="00543D8F">
            <w:r w:rsidRPr="00543D8F">
              <w:t> </w:t>
            </w:r>
            <w:r w:rsidR="004A15DC">
              <w:t>CD2SHY</w:t>
            </w:r>
          </w:p>
        </w:tc>
      </w:tr>
      <w:tr w:rsidR="00543D8F" w:rsidRPr="00543D8F" w:rsidTr="00F932A1">
        <w:trPr>
          <w:trHeight w:val="315"/>
        </w:trPr>
        <w:tc>
          <w:tcPr>
            <w:tcW w:w="1323" w:type="dxa"/>
            <w:hideMark/>
          </w:tcPr>
          <w:p w:rsidR="00543D8F" w:rsidRPr="00543D8F" w:rsidRDefault="00543D8F">
            <w:r w:rsidRPr="00543D8F">
              <w:t>RSHY5</w:t>
            </w:r>
          </w:p>
        </w:tc>
        <w:tc>
          <w:tcPr>
            <w:tcW w:w="960" w:type="dxa"/>
            <w:hideMark/>
          </w:tcPr>
          <w:p w:rsidR="00543D8F" w:rsidRPr="00543D8F" w:rsidRDefault="00543D8F">
            <w:r w:rsidRPr="00543D8F">
              <w:t>SERS</w:t>
            </w:r>
          </w:p>
        </w:tc>
        <w:tc>
          <w:tcPr>
            <w:tcW w:w="2080" w:type="dxa"/>
            <w:noWrap/>
            <w:hideMark/>
          </w:tcPr>
          <w:p w:rsidR="00543D8F" w:rsidRPr="00543D8F" w:rsidRDefault="00543D8F">
            <w:r w:rsidRPr="00543D8F">
              <w:t>Hybrid Contributions</w:t>
            </w:r>
          </w:p>
        </w:tc>
        <w:tc>
          <w:tcPr>
            <w:tcW w:w="2045" w:type="dxa"/>
            <w:noWrap/>
            <w:hideMark/>
          </w:tcPr>
          <w:p w:rsidR="00543D8F" w:rsidRPr="00543D8F" w:rsidRDefault="00543D8F">
            <w:r w:rsidRPr="00543D8F">
              <w:t>CDSHY5</w:t>
            </w:r>
          </w:p>
        </w:tc>
      </w:tr>
    </w:tbl>
    <w:p w:rsidR="009A65AF" w:rsidRDefault="009A65AF" w:rsidP="00213FE6"/>
    <w:sectPr w:rsidR="009A65AF" w:rsidSect="009D6393">
      <w:headerReference w:type="default" r:id="rId13"/>
      <w:foot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3D" w:rsidRDefault="007F573D" w:rsidP="007607B1">
      <w:r>
        <w:separator/>
      </w:r>
    </w:p>
  </w:endnote>
  <w:endnote w:type="continuationSeparator" w:id="0">
    <w:p w:rsidR="007F573D" w:rsidRDefault="007F573D" w:rsidP="007607B1">
      <w:r>
        <w:continuationSeparator/>
      </w:r>
    </w:p>
  </w:endnote>
  <w:endnote w:type="continuationNotice" w:id="1">
    <w:p w:rsidR="007F573D" w:rsidRDefault="007F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D8" w:rsidRDefault="00FF19D8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13CA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13CA6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3D" w:rsidRDefault="007F573D" w:rsidP="007607B1">
      <w:r>
        <w:separator/>
      </w:r>
    </w:p>
  </w:footnote>
  <w:footnote w:type="continuationSeparator" w:id="0">
    <w:p w:rsidR="007F573D" w:rsidRDefault="007F573D" w:rsidP="007607B1">
      <w:r>
        <w:continuationSeparator/>
      </w:r>
    </w:p>
  </w:footnote>
  <w:footnote w:type="continuationNotice" w:id="1">
    <w:p w:rsidR="007F573D" w:rsidRDefault="007F5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D8" w:rsidRDefault="00FF19D8" w:rsidP="003250ED">
    <w:pPr>
      <w:pStyle w:val="Header"/>
      <w:tabs>
        <w:tab w:val="center" w:pos="5400"/>
        <w:tab w:val="right" w:pos="10800"/>
      </w:tabs>
      <w:rPr>
        <w:sz w:val="20"/>
      </w:rPr>
    </w:pPr>
    <w:r>
      <w:rPr>
        <w:noProof/>
        <w:sz w:val="20"/>
      </w:rPr>
      <mc:AlternateContent>
        <mc:Choice Requires="wps">
          <w:drawing>
            <wp:inline distT="0" distB="0" distL="0" distR="0" wp14:anchorId="704C6623" wp14:editId="3DF735FD">
              <wp:extent cx="5486400" cy="19050"/>
              <wp:effectExtent l="0" t="0" r="0" b="0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90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0BfAIAAPo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" fillcolor="gray" stroked="f">
              <w10:anchorlock/>
            </v:rect>
          </w:pict>
        </mc:Fallback>
      </mc:AlternateContent>
    </w:r>
  </w:p>
  <w:p w:rsidR="001230D1" w:rsidRDefault="007F573D" w:rsidP="00DC7074">
    <w:pPr>
      <w:pStyle w:val="Header"/>
      <w:ind w:left="-1080"/>
      <w:jc w:val="center"/>
      <w:rPr>
        <w:b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60.8pt;margin-top:8pt;width:102.25pt;height:35.7pt;z-index:251656704" o:userdrawn="t" o:allowoverlap="f" fillcolor="#dadada">
          <v:imagedata r:id="rId1" o:title=""/>
        </v:shape>
        <o:OLEObject Type="Embed" ProgID="MSPhotoEd.3" ShapeID="_x0000_s2052" DrawAspect="Content" ObjectID="_1579520572" r:id="rId2"/>
      </w:pict>
    </w:r>
    <w:r w:rsidR="001230D1">
      <w:rPr>
        <w:b/>
        <w:sz w:val="28"/>
        <w:szCs w:val="28"/>
      </w:rPr>
      <w:t xml:space="preserve">Capturing the Missed 1.5% Pension Deduction </w:t>
    </w:r>
  </w:p>
  <w:p w:rsidR="001230D1" w:rsidRDefault="001230D1" w:rsidP="001230D1">
    <w:pPr>
      <w:pStyle w:val="Header"/>
      <w:ind w:left="-1080"/>
      <w:jc w:val="center"/>
      <w:rPr>
        <w:b/>
        <w:sz w:val="28"/>
        <w:szCs w:val="28"/>
      </w:rPr>
    </w:pPr>
    <w:r>
      <w:rPr>
        <w:b/>
        <w:sz w:val="28"/>
        <w:szCs w:val="28"/>
      </w:rPr>
      <w:t>Increase at Retirement</w:t>
    </w:r>
    <w:r w:rsidR="00B760F6">
      <w:rPr>
        <w:b/>
        <w:sz w:val="28"/>
        <w:szCs w:val="28"/>
      </w:rPr>
      <w:t xml:space="preserve"> or Termination</w:t>
    </w:r>
    <w:r>
      <w:rPr>
        <w:b/>
        <w:sz w:val="28"/>
        <w:szCs w:val="28"/>
      </w:rPr>
      <w:t xml:space="preserve"> </w:t>
    </w:r>
  </w:p>
  <w:p w:rsidR="00FF19D8" w:rsidRPr="001230D1" w:rsidRDefault="00FF19D8" w:rsidP="001230D1">
    <w:pPr>
      <w:pStyle w:val="Header"/>
      <w:ind w:left="-1080"/>
      <w:jc w:val="center"/>
      <w:rPr>
        <w:b/>
        <w:sz w:val="28"/>
        <w:szCs w:val="28"/>
      </w:rPr>
    </w:pPr>
    <w:r>
      <w:rPr>
        <w:sz w:val="22"/>
        <w:szCs w:val="22"/>
      </w:rPr>
      <w:t xml:space="preserve">Last Updated: </w:t>
    </w:r>
    <w:r w:rsidR="00B760F6">
      <w:rPr>
        <w:sz w:val="22"/>
        <w:szCs w:val="22"/>
      </w:rPr>
      <w:t>February 5</w:t>
    </w:r>
    <w:r w:rsidR="00870DE3">
      <w:rPr>
        <w:sz w:val="22"/>
        <w:szCs w:val="22"/>
      </w:rPr>
      <w:t>, 2018</w:t>
    </w:r>
  </w:p>
  <w:p w:rsidR="00FF19D8" w:rsidRPr="003250ED" w:rsidRDefault="00FF19D8">
    <w:pPr>
      <w:pStyle w:val="Header"/>
    </w:pPr>
    <w:r>
      <w:rPr>
        <w:noProof/>
        <w:sz w:val="20"/>
      </w:rPr>
      <mc:AlternateContent>
        <mc:Choice Requires="wps">
          <w:drawing>
            <wp:inline distT="0" distB="0" distL="0" distR="0" wp14:anchorId="26D8E009" wp14:editId="691788D7">
              <wp:extent cx="5486400" cy="19050"/>
              <wp:effectExtent l="0" t="0" r="0" b="0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90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6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" fillcolor="gray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39C"/>
    <w:multiLevelType w:val="hybridMultilevel"/>
    <w:tmpl w:val="CE38C3E0"/>
    <w:lvl w:ilvl="0" w:tplc="E87A168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86C8436E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59F2FFF2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7F68447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92843D7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1DD84B0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BA7E264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3A30AEC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642AF89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>
    <w:nsid w:val="30D63090"/>
    <w:multiLevelType w:val="hybridMultilevel"/>
    <w:tmpl w:val="5E54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4ADF"/>
    <w:multiLevelType w:val="hybridMultilevel"/>
    <w:tmpl w:val="1A2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05402"/>
    <w:rsid w:val="00013573"/>
    <w:rsid w:val="0001604B"/>
    <w:rsid w:val="000332DB"/>
    <w:rsid w:val="00034BBA"/>
    <w:rsid w:val="0004348E"/>
    <w:rsid w:val="000736C8"/>
    <w:rsid w:val="00082EB8"/>
    <w:rsid w:val="00087F7B"/>
    <w:rsid w:val="000B1F2F"/>
    <w:rsid w:val="000B7152"/>
    <w:rsid w:val="000C3B8C"/>
    <w:rsid w:val="000E25A9"/>
    <w:rsid w:val="000F0FC3"/>
    <w:rsid w:val="000F1C02"/>
    <w:rsid w:val="000F26D6"/>
    <w:rsid w:val="000F5E85"/>
    <w:rsid w:val="00104C3E"/>
    <w:rsid w:val="001139DA"/>
    <w:rsid w:val="00116F64"/>
    <w:rsid w:val="001230D1"/>
    <w:rsid w:val="00130590"/>
    <w:rsid w:val="00135178"/>
    <w:rsid w:val="001478E1"/>
    <w:rsid w:val="00155717"/>
    <w:rsid w:val="00161E8E"/>
    <w:rsid w:val="00177879"/>
    <w:rsid w:val="00186995"/>
    <w:rsid w:val="00191A32"/>
    <w:rsid w:val="00196A14"/>
    <w:rsid w:val="001C00AF"/>
    <w:rsid w:val="001C30F7"/>
    <w:rsid w:val="001E4DCD"/>
    <w:rsid w:val="001E7174"/>
    <w:rsid w:val="001F166F"/>
    <w:rsid w:val="001F37E0"/>
    <w:rsid w:val="001F4E20"/>
    <w:rsid w:val="00206565"/>
    <w:rsid w:val="00212F86"/>
    <w:rsid w:val="00213FE6"/>
    <w:rsid w:val="0022646B"/>
    <w:rsid w:val="002411C2"/>
    <w:rsid w:val="00253430"/>
    <w:rsid w:val="002620DC"/>
    <w:rsid w:val="00265C05"/>
    <w:rsid w:val="0027442E"/>
    <w:rsid w:val="0029000B"/>
    <w:rsid w:val="00293D33"/>
    <w:rsid w:val="002948EC"/>
    <w:rsid w:val="002A0B40"/>
    <w:rsid w:val="002A24DD"/>
    <w:rsid w:val="002B29D3"/>
    <w:rsid w:val="002E342F"/>
    <w:rsid w:val="002F5285"/>
    <w:rsid w:val="002F7052"/>
    <w:rsid w:val="003104B6"/>
    <w:rsid w:val="003250ED"/>
    <w:rsid w:val="00335D9A"/>
    <w:rsid w:val="0034088E"/>
    <w:rsid w:val="003435AC"/>
    <w:rsid w:val="00363563"/>
    <w:rsid w:val="00364FC5"/>
    <w:rsid w:val="003721C0"/>
    <w:rsid w:val="003C0A3E"/>
    <w:rsid w:val="003E120E"/>
    <w:rsid w:val="003F4FDD"/>
    <w:rsid w:val="004245D0"/>
    <w:rsid w:val="004270D6"/>
    <w:rsid w:val="00427145"/>
    <w:rsid w:val="004317FD"/>
    <w:rsid w:val="004501F2"/>
    <w:rsid w:val="00457B1B"/>
    <w:rsid w:val="0047463F"/>
    <w:rsid w:val="00476961"/>
    <w:rsid w:val="004A0460"/>
    <w:rsid w:val="004A15DC"/>
    <w:rsid w:val="004A464C"/>
    <w:rsid w:val="004B0D2E"/>
    <w:rsid w:val="004B4CC7"/>
    <w:rsid w:val="004C4F82"/>
    <w:rsid w:val="004C539F"/>
    <w:rsid w:val="004D118E"/>
    <w:rsid w:val="004D226D"/>
    <w:rsid w:val="004D678B"/>
    <w:rsid w:val="004F70DD"/>
    <w:rsid w:val="00512353"/>
    <w:rsid w:val="00513CA6"/>
    <w:rsid w:val="005371E8"/>
    <w:rsid w:val="00543D8F"/>
    <w:rsid w:val="00543E27"/>
    <w:rsid w:val="0055731C"/>
    <w:rsid w:val="005604C9"/>
    <w:rsid w:val="00564F87"/>
    <w:rsid w:val="00564FA4"/>
    <w:rsid w:val="00571F06"/>
    <w:rsid w:val="005812BA"/>
    <w:rsid w:val="0058217F"/>
    <w:rsid w:val="0058288B"/>
    <w:rsid w:val="00596179"/>
    <w:rsid w:val="005B49B5"/>
    <w:rsid w:val="005C07BA"/>
    <w:rsid w:val="005D4D05"/>
    <w:rsid w:val="00604B3F"/>
    <w:rsid w:val="00606B4F"/>
    <w:rsid w:val="006136CD"/>
    <w:rsid w:val="0061486D"/>
    <w:rsid w:val="0063693F"/>
    <w:rsid w:val="0064257C"/>
    <w:rsid w:val="006522AF"/>
    <w:rsid w:val="00665D2F"/>
    <w:rsid w:val="006672FA"/>
    <w:rsid w:val="006706B4"/>
    <w:rsid w:val="00676B9E"/>
    <w:rsid w:val="00680B68"/>
    <w:rsid w:val="006821BA"/>
    <w:rsid w:val="00682D3B"/>
    <w:rsid w:val="006A79FF"/>
    <w:rsid w:val="006C2E7F"/>
    <w:rsid w:val="006C49A2"/>
    <w:rsid w:val="006C5F09"/>
    <w:rsid w:val="006D5E16"/>
    <w:rsid w:val="006E76C5"/>
    <w:rsid w:val="00715A8E"/>
    <w:rsid w:val="00746633"/>
    <w:rsid w:val="007518EA"/>
    <w:rsid w:val="007577C4"/>
    <w:rsid w:val="007607B1"/>
    <w:rsid w:val="0076461D"/>
    <w:rsid w:val="00797533"/>
    <w:rsid w:val="007F573D"/>
    <w:rsid w:val="008153B0"/>
    <w:rsid w:val="00825958"/>
    <w:rsid w:val="00830835"/>
    <w:rsid w:val="00833306"/>
    <w:rsid w:val="00845890"/>
    <w:rsid w:val="00864A1E"/>
    <w:rsid w:val="00865BEA"/>
    <w:rsid w:val="00870DE3"/>
    <w:rsid w:val="00877567"/>
    <w:rsid w:val="008B6EA3"/>
    <w:rsid w:val="008C2280"/>
    <w:rsid w:val="008D0126"/>
    <w:rsid w:val="008D0D01"/>
    <w:rsid w:val="008D2DDE"/>
    <w:rsid w:val="00937E25"/>
    <w:rsid w:val="00943E6D"/>
    <w:rsid w:val="00953E22"/>
    <w:rsid w:val="00955B88"/>
    <w:rsid w:val="009604E8"/>
    <w:rsid w:val="00960D24"/>
    <w:rsid w:val="00966204"/>
    <w:rsid w:val="0097238E"/>
    <w:rsid w:val="009875AF"/>
    <w:rsid w:val="00995494"/>
    <w:rsid w:val="009A65AF"/>
    <w:rsid w:val="009A7DB1"/>
    <w:rsid w:val="009B4ACC"/>
    <w:rsid w:val="009B5F55"/>
    <w:rsid w:val="009D053A"/>
    <w:rsid w:val="009D6393"/>
    <w:rsid w:val="00A27D7A"/>
    <w:rsid w:val="00A30D4C"/>
    <w:rsid w:val="00A528FF"/>
    <w:rsid w:val="00A604A0"/>
    <w:rsid w:val="00A81D02"/>
    <w:rsid w:val="00A82190"/>
    <w:rsid w:val="00AB6028"/>
    <w:rsid w:val="00AC071A"/>
    <w:rsid w:val="00AC1A72"/>
    <w:rsid w:val="00AE492C"/>
    <w:rsid w:val="00AE6304"/>
    <w:rsid w:val="00B07C7A"/>
    <w:rsid w:val="00B112E7"/>
    <w:rsid w:val="00B150E9"/>
    <w:rsid w:val="00B175E5"/>
    <w:rsid w:val="00B308C2"/>
    <w:rsid w:val="00B36B71"/>
    <w:rsid w:val="00B4543F"/>
    <w:rsid w:val="00B501E7"/>
    <w:rsid w:val="00B609BB"/>
    <w:rsid w:val="00B705E2"/>
    <w:rsid w:val="00B760F6"/>
    <w:rsid w:val="00BA5F6F"/>
    <w:rsid w:val="00BB7C42"/>
    <w:rsid w:val="00BC2481"/>
    <w:rsid w:val="00BC7044"/>
    <w:rsid w:val="00BD3AC0"/>
    <w:rsid w:val="00BD4267"/>
    <w:rsid w:val="00BE0284"/>
    <w:rsid w:val="00C02AFE"/>
    <w:rsid w:val="00C07789"/>
    <w:rsid w:val="00C14113"/>
    <w:rsid w:val="00C461AF"/>
    <w:rsid w:val="00C463F8"/>
    <w:rsid w:val="00C6280C"/>
    <w:rsid w:val="00C716A1"/>
    <w:rsid w:val="00C744DA"/>
    <w:rsid w:val="00CA3A1F"/>
    <w:rsid w:val="00CD31A7"/>
    <w:rsid w:val="00CE4D21"/>
    <w:rsid w:val="00CF1E12"/>
    <w:rsid w:val="00D00914"/>
    <w:rsid w:val="00D036FC"/>
    <w:rsid w:val="00D05CAF"/>
    <w:rsid w:val="00D7729C"/>
    <w:rsid w:val="00D803A3"/>
    <w:rsid w:val="00D9628B"/>
    <w:rsid w:val="00DB6D2E"/>
    <w:rsid w:val="00DC2BBD"/>
    <w:rsid w:val="00DC3F54"/>
    <w:rsid w:val="00DC7074"/>
    <w:rsid w:val="00DC7EE3"/>
    <w:rsid w:val="00DD35A5"/>
    <w:rsid w:val="00DD6626"/>
    <w:rsid w:val="00DE767B"/>
    <w:rsid w:val="00DF11AD"/>
    <w:rsid w:val="00DF390D"/>
    <w:rsid w:val="00E10B64"/>
    <w:rsid w:val="00E1133F"/>
    <w:rsid w:val="00E147E0"/>
    <w:rsid w:val="00E20466"/>
    <w:rsid w:val="00E256AB"/>
    <w:rsid w:val="00E30D45"/>
    <w:rsid w:val="00E562A6"/>
    <w:rsid w:val="00E720D4"/>
    <w:rsid w:val="00E8019D"/>
    <w:rsid w:val="00E83E22"/>
    <w:rsid w:val="00E84598"/>
    <w:rsid w:val="00E918E6"/>
    <w:rsid w:val="00EA2D90"/>
    <w:rsid w:val="00EB4EA2"/>
    <w:rsid w:val="00EB5313"/>
    <w:rsid w:val="00EB72C3"/>
    <w:rsid w:val="00EF0715"/>
    <w:rsid w:val="00EF6D8A"/>
    <w:rsid w:val="00F14D9B"/>
    <w:rsid w:val="00F2346B"/>
    <w:rsid w:val="00F41968"/>
    <w:rsid w:val="00F5562F"/>
    <w:rsid w:val="00F571B6"/>
    <w:rsid w:val="00F607DC"/>
    <w:rsid w:val="00F73974"/>
    <w:rsid w:val="00F76BD6"/>
    <w:rsid w:val="00F932A1"/>
    <w:rsid w:val="00F93FC4"/>
    <w:rsid w:val="00FA0376"/>
    <w:rsid w:val="00FB689B"/>
    <w:rsid w:val="00FC224A"/>
    <w:rsid w:val="00FC6D96"/>
    <w:rsid w:val="00FE110C"/>
    <w:rsid w:val="00FE2C1F"/>
    <w:rsid w:val="00FF1146"/>
    <w:rsid w:val="00FF19D8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7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7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7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2DB"/>
    <w:pPr>
      <w:ind w:left="720"/>
      <w:contextualSpacing/>
    </w:pPr>
  </w:style>
  <w:style w:type="character" w:styleId="Hyperlink">
    <w:name w:val="Hyperlink"/>
    <w:uiPriority w:val="99"/>
    <w:unhideWhenUsed/>
    <w:rsid w:val="00E845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D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7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7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7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2DB"/>
    <w:pPr>
      <w:ind w:left="720"/>
      <w:contextualSpacing/>
    </w:pPr>
  </w:style>
  <w:style w:type="character" w:styleId="Hyperlink">
    <w:name w:val="Hyperlink"/>
    <w:uiPriority w:val="99"/>
    <w:unhideWhenUsed/>
    <w:rsid w:val="00E845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D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C.PAYCORRECTIONS@C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2B0-395C-4B0E-9AFE-951EA2452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4077E-0D63-4BC3-8FB2-22C81C465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3AE21-C3D0-45E7-878D-501FE07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Action – Processing Returns/Refunds of Employee Contributions to Retirement Health Fund (OPEB and OTRS)</vt:lpstr>
    </vt:vector>
  </TitlesOfParts>
  <Company>CORECT</Company>
  <LinksUpToDate>false</LinksUpToDate>
  <CharactersWithSpaces>4083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mailto:OSC.benefitcorrections@ct.gov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mailto:OSC.opeb@ct.gov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Action – Processing Returns/Refunds of Employee Contributions to Retirement Health Fund (OPEB and OTRS)</dc:title>
  <dc:creator>Galka, Shirley</dc:creator>
  <cp:lastModifiedBy>Douglas, Tracy</cp:lastModifiedBy>
  <cp:revision>2</cp:revision>
  <cp:lastPrinted>2018-02-05T18:20:00Z</cp:lastPrinted>
  <dcterms:created xsi:type="dcterms:W3CDTF">2018-02-07T19:56:00Z</dcterms:created>
  <dcterms:modified xsi:type="dcterms:W3CDTF">2018-02-07T19:56:00Z</dcterms:modified>
</cp:coreProperties>
</file>